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72"/>
          <w:szCs w:val="7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72"/>
          <w:szCs w:val="72"/>
        </w:rPr>
        <w:t>询价文件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72"/>
          <w:szCs w:val="7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项目名称：四川省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eastAsia="zh-CN"/>
        </w:rPr>
        <w:t>南宝山服饰有限公司电视机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定点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eastAsia="zh-CN"/>
        </w:rPr>
        <w:t>维修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单位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eastAsia="zh-CN"/>
        </w:rPr>
        <w:t>采购</w:t>
      </w:r>
    </w:p>
    <w:p>
      <w:pPr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jc w:val="center"/>
        <w:rPr>
          <w:rFonts w:hint="default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编号：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5--Q040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44"/>
          <w:szCs w:val="44"/>
        </w:rPr>
        <w:t>四川省</w:t>
      </w:r>
      <w:r>
        <w:rPr>
          <w:rFonts w:hint="eastAsia" w:asciiTheme="minorEastAsia" w:hAnsiTheme="minorEastAsia" w:eastAsiaTheme="minorEastAsia" w:cstheme="minorEastAsia"/>
          <w:bCs/>
          <w:sz w:val="44"/>
          <w:szCs w:val="44"/>
          <w:lang w:eastAsia="zh-CN"/>
        </w:rPr>
        <w:t>南宝山服饰有限公司</w:t>
      </w:r>
    </w:p>
    <w:p>
      <w:pPr>
        <w:jc w:val="center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月</w:t>
      </w:r>
    </w:p>
    <w:p>
      <w:pPr>
        <w:spacing w:line="200" w:lineRule="atLeast"/>
        <w:jc w:val="center"/>
        <w:rPr>
          <w:rFonts w:hint="eastAsia" w:asciiTheme="minorEastAsia" w:hAnsiTheme="minorEastAsia" w:eastAsiaTheme="minorEastAsia" w:cstheme="minorEastAsia"/>
          <w:b/>
        </w:rPr>
        <w:sectPr>
          <w:headerReference r:id="rId3" w:type="default"/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>
      <w:pPr>
        <w:spacing w:line="200" w:lineRule="atLeast"/>
        <w:jc w:val="center"/>
        <w:rPr>
          <w:rFonts w:hint="eastAsia" w:asciiTheme="minorEastAsia" w:hAnsiTheme="minorEastAsia" w:eastAsiaTheme="minorEastAsia" w:cstheme="minorEastAsia"/>
          <w:b/>
        </w:rPr>
      </w:pPr>
    </w:p>
    <w:p>
      <w:pPr>
        <w:spacing w:line="200" w:lineRule="atLeast"/>
        <w:jc w:val="center"/>
        <w:rPr>
          <w:rFonts w:hint="eastAsia" w:asciiTheme="minorEastAsia" w:hAnsiTheme="minorEastAsia" w:eastAsiaTheme="minorEastAsia" w:cstheme="minorEastAsia"/>
          <w:bCs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Cs/>
          <w:sz w:val="48"/>
          <w:szCs w:val="48"/>
        </w:rPr>
        <w:t>目   录</w:t>
      </w:r>
    </w:p>
    <w:p>
      <w:pPr>
        <w:pStyle w:val="15"/>
        <w:rPr>
          <w:rFonts w:hint="eastAsia" w:asciiTheme="minorEastAsia" w:hAnsiTheme="minorEastAsia" w:eastAsiaTheme="minorEastAsia" w:cstheme="minorEastAsia"/>
        </w:rPr>
      </w:pPr>
    </w:p>
    <w:p>
      <w:pPr>
        <w:pStyle w:val="15"/>
        <w:tabs>
          <w:tab w:val="right" w:leader="dot" w:pos="9072"/>
          <w:tab w:val="clear" w:pos="9118"/>
        </w:tabs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instrText xml:space="preserve">TOC \o "1-1" \h \u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HYPERLINK \l "_Toc16154" 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30"/>
          <w14:textFill>
            <w14:solidFill>
              <w14:schemeClr w14:val="tx1"/>
            </w14:solidFill>
          </w14:textFill>
        </w:rPr>
        <w:t>第一章 邀请公告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instrText xml:space="preserve"> PAGEREF _Toc16154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072"/>
          <w:tab w:val="clear" w:pos="9118"/>
        </w:tabs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HYPERLINK \l "_Toc100" 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30"/>
          <w14:textFill>
            <w14:solidFill>
              <w14:schemeClr w14:val="tx1"/>
            </w14:solidFill>
          </w14:textFill>
        </w:rPr>
        <w:t>第二章 投标人须知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instrText xml:space="preserve"> PAGEREF _Toc100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072"/>
          <w:tab w:val="clear" w:pos="9118"/>
        </w:tabs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HYPERLINK \l "_Toc21412" 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30"/>
          <w14:textFill>
            <w14:solidFill>
              <w14:schemeClr w14:val="tx1"/>
            </w14:solidFill>
          </w14:textFill>
        </w:rPr>
        <w:t>第三章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30"/>
          <w14:textFill>
            <w14:solidFill>
              <w14:schemeClr w14:val="tx1"/>
            </w14:solidFill>
          </w14:textFill>
        </w:rPr>
        <w:t>商务条款及要求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instrText xml:space="preserve"> PAGEREF _Toc21412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072"/>
          <w:tab w:val="clear" w:pos="9118"/>
        </w:tabs>
        <w:ind w:left="1026" w:hanging="1026" w:hangingChars="365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HYPERLINK \l "_Toc17216" 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30"/>
          <w14:textFill>
            <w14:solidFill>
              <w14:schemeClr w14:val="tx1"/>
            </w14:solidFill>
          </w14:textFill>
        </w:rPr>
        <w:t>第四章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30"/>
          <w14:textFill>
            <w14:solidFill>
              <w14:schemeClr w14:val="tx1"/>
            </w14:solidFill>
          </w14:textFill>
        </w:rPr>
        <w:t>四川省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30"/>
          <w:lang w:eastAsia="zh-CN"/>
          <w14:textFill>
            <w14:solidFill>
              <w14:schemeClr w14:val="tx1"/>
            </w14:solidFill>
          </w14:textFill>
        </w:rPr>
        <w:t>南宝山服饰有限公司电视机定点维修单位采购报价单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instrText xml:space="preserve"> PAGEREF _Toc17216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072"/>
          <w:tab w:val="clear" w:pos="9118"/>
        </w:tabs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HYPERLINK \l "_Toc27717" 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30"/>
          <w14:textFill>
            <w14:solidFill>
              <w14:schemeClr w14:val="tx1"/>
            </w14:solidFill>
          </w14:textFill>
        </w:rPr>
        <w:t>第五章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30"/>
          <w14:textFill>
            <w14:solidFill>
              <w14:schemeClr w14:val="tx1"/>
            </w14:solidFill>
          </w14:textFill>
        </w:rPr>
        <w:t>评审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instrText xml:space="preserve"> PAGEREF _Toc27717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640" w:lineRule="exact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rPr>
          <w:rFonts w:hint="eastAsia" w:asciiTheme="minorEastAsia" w:hAnsiTheme="minorEastAsia" w:eastAsiaTheme="minorEastAsia" w:cstheme="minorEastAsia"/>
          <w:b/>
          <w:bCs/>
          <w:caps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aps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aps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pStyle w:val="3"/>
        <w:spacing w:beforeLines="50" w:afterLines="50" w:line="520" w:lineRule="exact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sectPr>
          <w:footerReference r:id="rId4" w:type="default"/>
          <w:pgSz w:w="11906" w:h="16838"/>
          <w:pgMar w:top="1417" w:right="1417" w:bottom="1417" w:left="1417" w:header="851" w:footer="992" w:gutter="0"/>
          <w:pgNumType w:start="1"/>
          <w:cols w:space="720" w:num="1"/>
          <w:docGrid w:type="lines" w:linePitch="312" w:charSpace="0"/>
        </w:sectPr>
      </w:pPr>
      <w:bookmarkStart w:id="0" w:name="_Toc27070"/>
    </w:p>
    <w:p>
      <w:pPr>
        <w:pStyle w:val="3"/>
        <w:spacing w:beforeLines="50" w:afterLines="50" w:line="52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bookmarkStart w:id="1" w:name="_Toc16154"/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第一章 邀请公告</w:t>
      </w:r>
      <w:bookmarkEnd w:id="0"/>
      <w:bookmarkEnd w:id="1"/>
    </w:p>
    <w:p>
      <w:pPr>
        <w:spacing w:line="500" w:lineRule="exact"/>
        <w:ind w:firstLine="600"/>
        <w:rPr>
          <w:rFonts w:hint="eastAsia" w:asciiTheme="minorEastAsia" w:hAnsiTheme="minorEastAsia" w:eastAsiaTheme="minorEastAsia" w:cstheme="minorEastAsia"/>
          <w:sz w:val="30"/>
          <w:szCs w:val="30"/>
        </w:rPr>
      </w:pPr>
      <w:bookmarkStart w:id="2" w:name="_Toc227144287"/>
      <w:r>
        <w:rPr>
          <w:rFonts w:hint="eastAsia" w:asciiTheme="minorEastAsia" w:hAnsiTheme="minorEastAsia" w:eastAsiaTheme="minorEastAsia" w:cstheme="minorEastAsia"/>
          <w:sz w:val="30"/>
          <w:szCs w:val="30"/>
        </w:rPr>
        <w:t>四川省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南宝山服饰有限公司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根据单位需要，准备对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公司电视机定点维修单位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进行询价采购，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主要内容：电源板、背光、逻辑板、主板、屏幕维修更换。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现诚邀各公司参加此项目并与我方联系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领取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询价文件。本询价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文件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在四川省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邛崃监狱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官方网站上发布。</w:t>
      </w:r>
    </w:p>
    <w:p>
      <w:pPr>
        <w:pStyle w:val="4"/>
        <w:spacing w:before="0" w:afterLines="50" w:line="480" w:lineRule="exact"/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1.项目情况</w:t>
      </w:r>
    </w:p>
    <w:tbl>
      <w:tblPr>
        <w:tblStyle w:val="19"/>
        <w:tblW w:w="950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9"/>
        <w:gridCol w:w="719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30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719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both"/>
              <w:textAlignment w:val="baseline"/>
              <w:outlineLvl w:val="1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四川省南宝山服饰有限公司电视机定点维修单位采购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0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采购单位</w:t>
            </w:r>
          </w:p>
        </w:tc>
        <w:tc>
          <w:tcPr>
            <w:tcW w:w="719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四川省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南宝山服饰有限公司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0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获取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文件时间</w:t>
            </w:r>
          </w:p>
        </w:tc>
        <w:tc>
          <w:tcPr>
            <w:tcW w:w="719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日 09: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0至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 xml:space="preserve"> 6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 xml:space="preserve"> 17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日 17:00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0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获取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文件地点</w:t>
            </w:r>
          </w:p>
        </w:tc>
        <w:tc>
          <w:tcPr>
            <w:tcW w:w="719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四川省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南宝山服饰有限公司生产工作洽谈室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0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响应文件递交地点</w:t>
            </w:r>
          </w:p>
        </w:tc>
        <w:tc>
          <w:tcPr>
            <w:tcW w:w="719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四川省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南宝山服饰有限公司生产工作洽谈室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0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响应文件开启时间</w:t>
            </w:r>
          </w:p>
        </w:tc>
        <w:tc>
          <w:tcPr>
            <w:tcW w:w="719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 xml:space="preserve">6 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日 9:30</w:t>
            </w:r>
            <w:bookmarkStart w:id="21" w:name="_GoBack"/>
            <w:bookmarkEnd w:id="21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0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响应文件开启地点</w:t>
            </w:r>
          </w:p>
        </w:tc>
        <w:tc>
          <w:tcPr>
            <w:tcW w:w="719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四川省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南宝山服饰有限公司生产工作洽谈室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503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联系人及联系方式：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0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项目联系单位及电话</w:t>
            </w:r>
          </w:p>
        </w:tc>
        <w:tc>
          <w:tcPr>
            <w:tcW w:w="719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四川省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南宝山服饰有限公司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公司办028-88808053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0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报名邮箱</w:t>
            </w:r>
          </w:p>
        </w:tc>
        <w:tc>
          <w:tcPr>
            <w:tcW w:w="719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scsqljy88808053@163.com</w:t>
            </w:r>
          </w:p>
          <w:p>
            <w:pPr>
              <w:widowControl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邮箱报名格式：项目名称+报名单位全称+代理人姓名+联系电话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0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采购单位</w:t>
            </w:r>
          </w:p>
        </w:tc>
        <w:tc>
          <w:tcPr>
            <w:tcW w:w="719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四川省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南宝山服饰有限公司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0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采购单位地址</w:t>
            </w:r>
          </w:p>
        </w:tc>
        <w:tc>
          <w:tcPr>
            <w:tcW w:w="719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成都市邛崃市临邛镇大东街669号</w:t>
            </w:r>
          </w:p>
        </w:tc>
      </w:tr>
    </w:tbl>
    <w:p>
      <w:pPr>
        <w:spacing w:line="46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br w:type="page"/>
      </w:r>
    </w:p>
    <w:p>
      <w:pPr>
        <w:pStyle w:val="4"/>
        <w:spacing w:before="0" w:after="0" w:line="480" w:lineRule="exact"/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2.投标人资格条件要求</w:t>
      </w:r>
    </w:p>
    <w:p>
      <w:pPr>
        <w:spacing w:line="4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2.1在中华人民共和国境内注册，具有独立承担民事责任能力的企业法人；</w:t>
      </w:r>
    </w:p>
    <w:p>
      <w:pPr>
        <w:spacing w:line="4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2.2具有有效的营业执照、税务登记证、组织机构代码等相关证件和相应的资质；</w:t>
      </w:r>
    </w:p>
    <w:p>
      <w:pPr>
        <w:spacing w:line="4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2.3具有履行合同所必需的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专业技术能力和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货物质保能力；</w:t>
      </w:r>
    </w:p>
    <w:p>
      <w:pPr>
        <w:spacing w:line="4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2.4本次投标不接受联合体投标。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br w:type="page"/>
      </w:r>
    </w:p>
    <w:p>
      <w:pPr>
        <w:pStyle w:val="3"/>
        <w:spacing w:beforeLines="50" w:afterLines="50" w:line="52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bookmarkStart w:id="3" w:name="_Toc25582"/>
      <w:bookmarkStart w:id="4" w:name="_Toc100"/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第二章 投标人须知</w:t>
      </w:r>
      <w:bookmarkEnd w:id="3"/>
      <w:bookmarkEnd w:id="4"/>
    </w:p>
    <w:p>
      <w:pPr>
        <w:pStyle w:val="4"/>
        <w:spacing w:before="0" w:afterLines="50" w:line="480" w:lineRule="exact"/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1.投标人须知附表</w:t>
      </w:r>
    </w:p>
    <w:tbl>
      <w:tblPr>
        <w:tblStyle w:val="19"/>
        <w:tblW w:w="9923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451"/>
        <w:gridCol w:w="6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83" w:type="dxa"/>
            <w:vAlign w:val="center"/>
          </w:tcPr>
          <w:p>
            <w:pPr>
              <w:tabs>
                <w:tab w:val="left" w:pos="7665"/>
              </w:tabs>
              <w:snapToGrid w:val="0"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序号</w:t>
            </w:r>
          </w:p>
        </w:tc>
        <w:tc>
          <w:tcPr>
            <w:tcW w:w="2451" w:type="dxa"/>
            <w:vAlign w:val="center"/>
          </w:tcPr>
          <w:p>
            <w:pPr>
              <w:tabs>
                <w:tab w:val="left" w:pos="7665"/>
              </w:tabs>
              <w:snapToGrid w:val="0"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内 容</w:t>
            </w:r>
          </w:p>
        </w:tc>
        <w:tc>
          <w:tcPr>
            <w:tcW w:w="6489" w:type="dxa"/>
            <w:vAlign w:val="center"/>
          </w:tcPr>
          <w:p>
            <w:pPr>
              <w:tabs>
                <w:tab w:val="left" w:pos="7665"/>
              </w:tabs>
              <w:snapToGrid w:val="0"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83" w:type="dxa"/>
            <w:vAlign w:val="center"/>
          </w:tcPr>
          <w:p>
            <w:pPr>
              <w:tabs>
                <w:tab w:val="left" w:pos="7665"/>
              </w:tabs>
              <w:snapToGrid w:val="0"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2451" w:type="dxa"/>
            <w:vAlign w:val="center"/>
          </w:tcPr>
          <w:p>
            <w:pPr>
              <w:tabs>
                <w:tab w:val="left" w:pos="7665"/>
              </w:tabs>
              <w:snapToGrid w:val="0"/>
              <w:spacing w:line="46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项目名称</w:t>
            </w:r>
          </w:p>
        </w:tc>
        <w:tc>
          <w:tcPr>
            <w:tcW w:w="6489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四川省南宝山服饰有限公司电视机定点维修单位采购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83" w:type="dxa"/>
            <w:vAlign w:val="center"/>
          </w:tcPr>
          <w:p>
            <w:pPr>
              <w:tabs>
                <w:tab w:val="left" w:pos="7665"/>
              </w:tabs>
              <w:snapToGrid w:val="0"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2451" w:type="dxa"/>
            <w:vAlign w:val="center"/>
          </w:tcPr>
          <w:p>
            <w:pPr>
              <w:tabs>
                <w:tab w:val="left" w:pos="7665"/>
              </w:tabs>
              <w:snapToGrid w:val="0"/>
              <w:spacing w:line="46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项目分包及说明</w:t>
            </w:r>
          </w:p>
        </w:tc>
        <w:tc>
          <w:tcPr>
            <w:tcW w:w="6489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本项目不允许分包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83" w:type="dxa"/>
            <w:vAlign w:val="center"/>
          </w:tcPr>
          <w:p>
            <w:pPr>
              <w:tabs>
                <w:tab w:val="left" w:pos="7665"/>
              </w:tabs>
              <w:snapToGrid w:val="0"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2451" w:type="dxa"/>
            <w:vAlign w:val="center"/>
          </w:tcPr>
          <w:p>
            <w:pPr>
              <w:tabs>
                <w:tab w:val="left" w:pos="7665"/>
              </w:tabs>
              <w:snapToGrid w:val="0"/>
              <w:spacing w:line="46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投标有效期</w:t>
            </w:r>
          </w:p>
        </w:tc>
        <w:tc>
          <w:tcPr>
            <w:tcW w:w="6489" w:type="dxa"/>
            <w:vAlign w:val="center"/>
          </w:tcPr>
          <w:p>
            <w:pPr>
              <w:tabs>
                <w:tab w:val="left" w:pos="7665"/>
              </w:tabs>
              <w:snapToGrid w:val="0"/>
              <w:spacing w:line="46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投标有效期：开标后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83" w:type="dxa"/>
            <w:vAlign w:val="center"/>
          </w:tcPr>
          <w:p>
            <w:pPr>
              <w:tabs>
                <w:tab w:val="left" w:pos="7665"/>
              </w:tabs>
              <w:snapToGrid w:val="0"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2451" w:type="dxa"/>
            <w:vAlign w:val="center"/>
          </w:tcPr>
          <w:p>
            <w:pPr>
              <w:tabs>
                <w:tab w:val="left" w:pos="7665"/>
              </w:tabs>
              <w:snapToGrid w:val="0"/>
              <w:spacing w:line="46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投标文件的组成</w:t>
            </w:r>
          </w:p>
        </w:tc>
        <w:tc>
          <w:tcPr>
            <w:tcW w:w="6489" w:type="dxa"/>
            <w:vAlign w:val="center"/>
          </w:tcPr>
          <w:p>
            <w:pPr>
              <w:tabs>
                <w:tab w:val="left" w:pos="7665"/>
              </w:tabs>
              <w:snapToGrid w:val="0"/>
              <w:spacing w:line="460" w:lineRule="exact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开标一览表一份、正本一份。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83" w:type="dxa"/>
            <w:vAlign w:val="center"/>
          </w:tcPr>
          <w:p>
            <w:pPr>
              <w:tabs>
                <w:tab w:val="left" w:pos="7665"/>
              </w:tabs>
              <w:snapToGrid w:val="0"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2451" w:type="dxa"/>
            <w:vAlign w:val="center"/>
          </w:tcPr>
          <w:p>
            <w:pPr>
              <w:tabs>
                <w:tab w:val="left" w:pos="7665"/>
              </w:tabs>
              <w:snapToGrid w:val="0"/>
              <w:spacing w:line="46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获取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询价</w:t>
            </w:r>
            <w:r>
              <w:rPr>
                <w:rFonts w:hint="eastAsia" w:asciiTheme="minorEastAsia" w:hAnsiTheme="minorEastAsia" w:eastAsiaTheme="minorEastAsia" w:cstheme="minorEastAsia"/>
              </w:rPr>
              <w:t>文件时间与地点</w:t>
            </w:r>
          </w:p>
        </w:tc>
        <w:tc>
          <w:tcPr>
            <w:tcW w:w="6489" w:type="dxa"/>
            <w:vAlign w:val="center"/>
          </w:tcPr>
          <w:p>
            <w:pPr>
              <w:tabs>
                <w:tab w:val="left" w:pos="7665"/>
              </w:tabs>
              <w:snapToGrid w:val="0"/>
              <w:spacing w:line="46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见第一章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邀请</w:t>
            </w:r>
            <w:r>
              <w:rPr>
                <w:rFonts w:hint="eastAsia" w:asciiTheme="minorEastAsia" w:hAnsiTheme="minorEastAsia" w:eastAsiaTheme="minorEastAsia" w:cstheme="minorEastAsia"/>
              </w:rPr>
              <w:t>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83" w:type="dxa"/>
            <w:vAlign w:val="center"/>
          </w:tcPr>
          <w:p>
            <w:pPr>
              <w:tabs>
                <w:tab w:val="left" w:pos="7665"/>
              </w:tabs>
              <w:snapToGrid w:val="0"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</w:t>
            </w:r>
          </w:p>
        </w:tc>
        <w:tc>
          <w:tcPr>
            <w:tcW w:w="2451" w:type="dxa"/>
            <w:vAlign w:val="center"/>
          </w:tcPr>
          <w:p>
            <w:pPr>
              <w:tabs>
                <w:tab w:val="left" w:pos="7665"/>
              </w:tabs>
              <w:snapToGrid w:val="0"/>
              <w:spacing w:line="46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递交投标文件的时间与地点</w:t>
            </w:r>
          </w:p>
        </w:tc>
        <w:tc>
          <w:tcPr>
            <w:tcW w:w="6489" w:type="dxa"/>
            <w:vAlign w:val="center"/>
          </w:tcPr>
          <w:p>
            <w:pPr>
              <w:tabs>
                <w:tab w:val="left" w:pos="7665"/>
              </w:tabs>
              <w:snapToGrid w:val="0"/>
              <w:spacing w:line="46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见第一章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邀请</w:t>
            </w:r>
            <w:r>
              <w:rPr>
                <w:rFonts w:hint="eastAsia" w:asciiTheme="minorEastAsia" w:hAnsiTheme="minorEastAsia" w:eastAsiaTheme="minorEastAsia" w:cstheme="minorEastAsia"/>
              </w:rPr>
              <w:t>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83" w:type="dxa"/>
            <w:vAlign w:val="center"/>
          </w:tcPr>
          <w:p>
            <w:pPr>
              <w:tabs>
                <w:tab w:val="left" w:pos="7665"/>
              </w:tabs>
              <w:snapToGrid w:val="0"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</w:t>
            </w:r>
          </w:p>
        </w:tc>
        <w:tc>
          <w:tcPr>
            <w:tcW w:w="2451" w:type="dxa"/>
            <w:vAlign w:val="center"/>
          </w:tcPr>
          <w:p>
            <w:pPr>
              <w:tabs>
                <w:tab w:val="left" w:pos="7665"/>
              </w:tabs>
              <w:snapToGrid w:val="0"/>
              <w:spacing w:line="46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开标时间与开标地点</w:t>
            </w:r>
          </w:p>
        </w:tc>
        <w:tc>
          <w:tcPr>
            <w:tcW w:w="6489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见第一章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邀请</w:t>
            </w:r>
            <w:r>
              <w:rPr>
                <w:rFonts w:hint="eastAsia" w:asciiTheme="minorEastAsia" w:hAnsiTheme="minorEastAsia" w:eastAsiaTheme="minorEastAsia" w:cstheme="minorEastAsia"/>
              </w:rPr>
              <w:t>公告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83" w:type="dxa"/>
            <w:vAlign w:val="center"/>
          </w:tcPr>
          <w:p>
            <w:pPr>
              <w:tabs>
                <w:tab w:val="left" w:pos="7665"/>
              </w:tabs>
              <w:snapToGrid w:val="0"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</w:t>
            </w:r>
          </w:p>
        </w:tc>
        <w:tc>
          <w:tcPr>
            <w:tcW w:w="2451" w:type="dxa"/>
            <w:vAlign w:val="center"/>
          </w:tcPr>
          <w:p>
            <w:pPr>
              <w:tabs>
                <w:tab w:val="left" w:pos="7665"/>
              </w:tabs>
              <w:snapToGrid w:val="0"/>
              <w:spacing w:line="46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年度资金预算</w:t>
            </w:r>
          </w:p>
        </w:tc>
        <w:tc>
          <w:tcPr>
            <w:tcW w:w="6489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lang w:val="en-US" w:eastAsia="zh-CN"/>
              </w:rPr>
              <w:t>19000.00</w:t>
            </w:r>
            <w:r>
              <w:rPr>
                <w:rFonts w:hint="eastAsia" w:asciiTheme="minorEastAsia" w:hAnsiTheme="minorEastAsia" w:eastAsiaTheme="minorEastAsia" w:cstheme="minorEastAsia"/>
                <w:b/>
              </w:rPr>
              <w:t>元（大写：</w:t>
            </w:r>
            <w:r>
              <w:rPr>
                <w:rFonts w:hint="eastAsia" w:asciiTheme="minorEastAsia" w:hAnsiTheme="minorEastAsia" w:eastAsiaTheme="minorEastAsia" w:cstheme="minorEastAsia"/>
                <w:b/>
                <w:lang w:eastAsia="zh-CN"/>
              </w:rPr>
              <w:t>壹万玖仟</w:t>
            </w:r>
            <w:r>
              <w:rPr>
                <w:rFonts w:hint="eastAsia" w:asciiTheme="minorEastAsia" w:hAnsiTheme="minorEastAsia" w:eastAsiaTheme="minorEastAsia" w:cstheme="minorEastAsia"/>
                <w:b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b/>
                <w:lang w:eastAsia="zh-CN"/>
              </w:rPr>
              <w:t>整</w:t>
            </w:r>
            <w:r>
              <w:rPr>
                <w:rFonts w:hint="eastAsia" w:asciiTheme="minorEastAsia" w:hAnsiTheme="minorEastAsia" w:eastAsiaTheme="minorEastAsia" w:cstheme="minorEastAsia"/>
                <w:b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lang w:eastAsia="zh-CN"/>
              </w:rPr>
              <w:t>按权重系数报价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lang w:val="en-US" w:eastAsia="zh-CN"/>
              </w:rPr>
              <w:t>,据实结算。</w:t>
            </w:r>
          </w:p>
        </w:tc>
      </w:tr>
    </w:tbl>
    <w:p>
      <w:pPr>
        <w:spacing w:line="46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  <w:bookmarkStart w:id="5" w:name="_Toc227144289"/>
      <w:r>
        <w:rPr>
          <w:rFonts w:hint="eastAsia" w:asciiTheme="minorEastAsia" w:hAnsiTheme="minorEastAsia" w:eastAsiaTheme="minorEastAsia" w:cstheme="minorEastAsia"/>
          <w:sz w:val="30"/>
          <w:szCs w:val="30"/>
        </w:rPr>
        <w:br w:type="page"/>
      </w:r>
    </w:p>
    <w:p>
      <w:pPr>
        <w:pStyle w:val="4"/>
        <w:spacing w:before="0" w:after="0" w:line="480" w:lineRule="exact"/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2.说明</w:t>
      </w:r>
      <w:bookmarkEnd w:id="5"/>
      <w:bookmarkStart w:id="6" w:name="_Toc227144290"/>
      <w:r>
        <w:rPr>
          <w:rFonts w:hint="eastAsia" w:asciiTheme="minorEastAsia" w:hAnsiTheme="minorEastAsia" w:eastAsiaTheme="minorEastAsia" w:cstheme="minorEastAsia"/>
          <w:sz w:val="30"/>
          <w:szCs w:val="30"/>
        </w:rPr>
        <w:t>及投标文件要求</w:t>
      </w:r>
    </w:p>
    <w:p>
      <w:pPr>
        <w:spacing w:line="4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2.1适用范围</w:t>
      </w:r>
      <w:bookmarkEnd w:id="6"/>
      <w:r>
        <w:rPr>
          <w:rFonts w:hint="eastAsia" w:asciiTheme="minorEastAsia" w:hAnsiTheme="minorEastAsia" w:eastAsiaTheme="minorEastAsia" w:cstheme="minorEastAsia"/>
          <w:sz w:val="30"/>
          <w:szCs w:val="30"/>
        </w:rPr>
        <w:t>：本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文件仅适用于本次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采购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项目中所叙述项目</w:t>
      </w:r>
      <w:bookmarkStart w:id="7" w:name="_Toc227144292"/>
      <w:r>
        <w:rPr>
          <w:rFonts w:hint="eastAsia" w:asciiTheme="minorEastAsia" w:hAnsiTheme="minorEastAsia" w:eastAsiaTheme="minorEastAsia" w:cstheme="minorEastAsia"/>
          <w:sz w:val="30"/>
          <w:szCs w:val="30"/>
        </w:rPr>
        <w:t>；</w:t>
      </w:r>
    </w:p>
    <w:p>
      <w:pPr>
        <w:spacing w:line="4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2.2投标人</w:t>
      </w:r>
      <w:bookmarkEnd w:id="7"/>
      <w:bookmarkStart w:id="8" w:name="_Toc227144293"/>
      <w:r>
        <w:rPr>
          <w:rFonts w:hint="eastAsia" w:asciiTheme="minorEastAsia" w:hAnsiTheme="minorEastAsia" w:eastAsiaTheme="minorEastAsia" w:cstheme="minorEastAsia"/>
          <w:sz w:val="30"/>
          <w:szCs w:val="30"/>
        </w:rPr>
        <w:t>合格的投标人</w:t>
      </w:r>
      <w:bookmarkEnd w:id="8"/>
      <w:r>
        <w:rPr>
          <w:rFonts w:hint="eastAsia" w:asciiTheme="minorEastAsia" w:hAnsiTheme="minorEastAsia" w:eastAsiaTheme="minorEastAsia" w:cstheme="minorEastAsia"/>
          <w:sz w:val="30"/>
          <w:szCs w:val="30"/>
        </w:rPr>
        <w:t>：见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公告</w:t>
      </w:r>
      <w:bookmarkStart w:id="9" w:name="_Toc227144294"/>
      <w:r>
        <w:rPr>
          <w:rFonts w:hint="eastAsia" w:asciiTheme="minorEastAsia" w:hAnsiTheme="minorEastAsia" w:eastAsiaTheme="minorEastAsia" w:cstheme="minorEastAsia"/>
          <w:sz w:val="30"/>
          <w:szCs w:val="30"/>
        </w:rPr>
        <w:t>投标人的资格要求；</w:t>
      </w:r>
    </w:p>
    <w:p>
      <w:pPr>
        <w:spacing w:line="4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2.3投标费用</w:t>
      </w:r>
      <w:bookmarkEnd w:id="9"/>
      <w:r>
        <w:rPr>
          <w:rFonts w:hint="eastAsia" w:asciiTheme="minorEastAsia" w:hAnsiTheme="minorEastAsia" w:eastAsiaTheme="minorEastAsia" w:cstheme="minorEastAsia"/>
          <w:sz w:val="30"/>
          <w:szCs w:val="30"/>
        </w:rPr>
        <w:t>：投标人自行承担参加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项目产生有关的费用，无论投标的结果如何，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人对上述费用不承担任何责任和义务</w:t>
      </w:r>
      <w:bookmarkStart w:id="10" w:name="_Toc227144295"/>
      <w:r>
        <w:rPr>
          <w:rFonts w:hint="eastAsia" w:asciiTheme="minorEastAsia" w:hAnsiTheme="minorEastAsia" w:eastAsiaTheme="minorEastAsia" w:cstheme="minorEastAsia"/>
          <w:sz w:val="30"/>
          <w:szCs w:val="30"/>
        </w:rPr>
        <w:t>；</w:t>
      </w:r>
    </w:p>
    <w:p>
      <w:pPr>
        <w:spacing w:line="4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2.4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文件的说明</w:t>
      </w:r>
      <w:bookmarkEnd w:id="10"/>
      <w:r>
        <w:rPr>
          <w:rFonts w:hint="eastAsia" w:asciiTheme="minorEastAsia" w:hAnsiTheme="minorEastAsia" w:eastAsiaTheme="minorEastAsia" w:cstheme="minorEastAsia"/>
          <w:sz w:val="30"/>
          <w:szCs w:val="30"/>
        </w:rPr>
        <w:t>：投标人应认真阅读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文件中所有事项、格式条款和规范要求等。投标人没有对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文件全面做出实质性响应是投标人的风险，招标人有权拒绝没有对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文件要求做出实质性响应的投标</w:t>
      </w:r>
      <w:bookmarkStart w:id="11" w:name="_Toc227144300"/>
      <w:r>
        <w:rPr>
          <w:rFonts w:hint="eastAsia" w:asciiTheme="minorEastAsia" w:hAnsiTheme="minorEastAsia" w:eastAsiaTheme="minorEastAsia" w:cstheme="minorEastAsia"/>
          <w:sz w:val="30"/>
          <w:szCs w:val="30"/>
        </w:rPr>
        <w:t>；</w:t>
      </w:r>
    </w:p>
    <w:p>
      <w:pPr>
        <w:spacing w:line="4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2.5投标语言</w:t>
      </w:r>
      <w:bookmarkEnd w:id="11"/>
      <w:r>
        <w:rPr>
          <w:rFonts w:hint="eastAsia" w:asciiTheme="minorEastAsia" w:hAnsiTheme="minorEastAsia" w:eastAsiaTheme="minorEastAsia" w:cstheme="minorEastAsia"/>
          <w:sz w:val="30"/>
          <w:szCs w:val="30"/>
        </w:rPr>
        <w:t>：由投标人编写的投标文件、投标交换的文件和往来信件均以中文书写</w:t>
      </w:r>
      <w:bookmarkStart w:id="12" w:name="_Toc227144301"/>
      <w:r>
        <w:rPr>
          <w:rFonts w:hint="eastAsia" w:asciiTheme="minorEastAsia" w:hAnsiTheme="minorEastAsia" w:eastAsiaTheme="minorEastAsia" w:cstheme="minorEastAsia"/>
          <w:sz w:val="30"/>
          <w:szCs w:val="30"/>
        </w:rPr>
        <w:t>；</w:t>
      </w:r>
    </w:p>
    <w:p>
      <w:pPr>
        <w:spacing w:line="4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2.6计量单位</w:t>
      </w:r>
      <w:bookmarkEnd w:id="12"/>
      <w:r>
        <w:rPr>
          <w:rFonts w:hint="eastAsia" w:asciiTheme="minorEastAsia" w:hAnsiTheme="minorEastAsia" w:eastAsiaTheme="minorEastAsia" w:cstheme="minorEastAsia"/>
          <w:sz w:val="30"/>
          <w:szCs w:val="30"/>
        </w:rPr>
        <w:t>：除在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文件的技术要求中另有规定外，计量单位应使用中华人民共和国法定计量单位</w:t>
      </w:r>
      <w:bookmarkStart w:id="13" w:name="_Toc227144302"/>
      <w:r>
        <w:rPr>
          <w:rFonts w:hint="eastAsia" w:asciiTheme="minorEastAsia" w:hAnsiTheme="minorEastAsia" w:eastAsiaTheme="minorEastAsia" w:cstheme="minorEastAsia"/>
          <w:sz w:val="30"/>
          <w:szCs w:val="30"/>
        </w:rPr>
        <w:t>；</w:t>
      </w:r>
    </w:p>
    <w:p>
      <w:pPr>
        <w:spacing w:line="4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2.7投标文件的组成</w:t>
      </w:r>
      <w:bookmarkEnd w:id="13"/>
      <w:r>
        <w:rPr>
          <w:rFonts w:hint="eastAsia" w:asciiTheme="minorEastAsia" w:hAnsiTheme="minorEastAsia" w:eastAsiaTheme="minorEastAsia" w:cstheme="minorEastAsia"/>
          <w:sz w:val="30"/>
          <w:szCs w:val="30"/>
        </w:rPr>
        <w:t>：投标人在递交投标文件时需递交壹份开标一览表、投标文件正本壹份。每份文件加盖骑缝鲜章，封口加盖鲜章；</w:t>
      </w:r>
    </w:p>
    <w:p>
      <w:pPr>
        <w:spacing w:line="4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2.8投标文件包含以下内容（★号条款为必须条款，缺少则废标）；</w:t>
      </w:r>
    </w:p>
    <w:p>
      <w:pPr>
        <w:spacing w:line="4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★营业执照副本（复印件加盖鲜章）、法定代表人授权书等；</w:t>
      </w:r>
    </w:p>
    <w:p>
      <w:pPr>
        <w:spacing w:line="460" w:lineRule="exact"/>
        <w:ind w:left="60" w:firstLine="60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★报价清单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shd w:val="clear" w:color="auto" w:fill="FFFFFF"/>
        </w:rPr>
        <w:t>详见第四章。</w:t>
      </w:r>
    </w:p>
    <w:tbl>
      <w:tblPr>
        <w:tblStyle w:val="19"/>
        <w:tblW w:w="50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313"/>
        <w:gridCol w:w="1811"/>
        <w:gridCol w:w="1099"/>
        <w:gridCol w:w="1257"/>
        <w:gridCol w:w="1213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76" w:type="pct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704" w:type="pct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971" w:type="pct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规格/参数/型号</w:t>
            </w:r>
          </w:p>
        </w:tc>
        <w:tc>
          <w:tcPr>
            <w:tcW w:w="589" w:type="pct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报价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674" w:type="pct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报价（元）</w:t>
            </w:r>
          </w:p>
        </w:tc>
        <w:tc>
          <w:tcPr>
            <w:tcW w:w="650" w:type="pct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权重</w:t>
            </w:r>
          </w:p>
        </w:tc>
        <w:tc>
          <w:tcPr>
            <w:tcW w:w="1032" w:type="pct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系数=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价*权重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76" w:type="pct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71" w:type="pct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89" w:type="pct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4" w:type="pct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50" w:type="pct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32" w:type="pct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76" w:type="pct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71" w:type="pct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89" w:type="pct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4" w:type="pct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50" w:type="pct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32" w:type="pct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76" w:type="pct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4" w:type="pct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71" w:type="pct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89" w:type="pct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4" w:type="pct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50" w:type="pct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32" w:type="pct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spacing w:line="46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pStyle w:val="4"/>
        <w:spacing w:before="0" w:after="0" w:line="480" w:lineRule="exact"/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pStyle w:val="4"/>
        <w:spacing w:before="0" w:after="0" w:line="480" w:lineRule="exact"/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pStyle w:val="4"/>
        <w:spacing w:before="0" w:after="0" w:line="480" w:lineRule="exact"/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pStyle w:val="4"/>
        <w:spacing w:before="0" w:after="0" w:line="480" w:lineRule="exact"/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pStyle w:val="4"/>
        <w:spacing w:before="0" w:after="0" w:line="480" w:lineRule="exact"/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pStyle w:val="4"/>
        <w:spacing w:before="0" w:after="0" w:line="48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pStyle w:val="4"/>
        <w:spacing w:before="0" w:after="0" w:line="48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3.开标一览表格式</w:t>
      </w:r>
    </w:p>
    <w:p>
      <w:pPr>
        <w:spacing w:afterLines="50" w:line="4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四川省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南宝山服饰有限公司电视机定点维修单位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询价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采购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开标一览表</w:t>
      </w:r>
    </w:p>
    <w:tbl>
      <w:tblPr>
        <w:tblStyle w:val="19"/>
        <w:tblW w:w="90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430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fr-F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fr-FR"/>
              </w:rPr>
              <w:t>投标人名称</w:t>
            </w:r>
          </w:p>
        </w:tc>
        <w:tc>
          <w:tcPr>
            <w:tcW w:w="343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fr-F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fr-FR"/>
              </w:rPr>
              <w:t>所投包件名称</w:t>
            </w:r>
          </w:p>
        </w:tc>
        <w:tc>
          <w:tcPr>
            <w:tcW w:w="364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fr-F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fr-FR"/>
              </w:rPr>
              <w:t>本包报价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985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XXX公司</w:t>
            </w:r>
          </w:p>
        </w:tc>
        <w:tc>
          <w:tcPr>
            <w:tcW w:w="3430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fr-FR"/>
              </w:rPr>
              <w:t>例：</w:t>
            </w:r>
            <w:r>
              <w:rPr>
                <w:rFonts w:hint="eastAsia" w:asciiTheme="minorEastAsia" w:hAnsiTheme="minorEastAsia" w:eastAsiaTheme="minorEastAsia" w:cstheme="minorEastAsia"/>
              </w:rPr>
              <w:t>四川省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南宝山服饰有限公司电视机定点维修单位采购</w:t>
            </w:r>
          </w:p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lang w:val="fr-FR"/>
              </w:rPr>
            </w:pPr>
          </w:p>
        </w:tc>
        <w:tc>
          <w:tcPr>
            <w:tcW w:w="3645" w:type="dxa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lang w:val="fr-FR"/>
              </w:rPr>
            </w:pPr>
          </w:p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highlight w:val="none"/>
                <w:lang w:val="fr-FR" w:eastAsia="zh-CN"/>
              </w:rPr>
              <w:t>报价清单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highlight w:val="none"/>
                <w:lang w:val="fr-FR"/>
              </w:rPr>
              <w:t>系数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highlight w:val="none"/>
                <w:lang w:val="fr-FR" w:eastAsia="zh-CN"/>
              </w:rPr>
              <w:t>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highlight w:val="none"/>
                <w:lang w:val="fr-FR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lang w:val="fr-FR"/>
              </w:rPr>
              <w:t>（保留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lang w:val="fr-FR"/>
              </w:rPr>
              <w:t>位小数</w:t>
            </w:r>
            <w:r>
              <w:rPr>
                <w:rFonts w:hint="eastAsia" w:asciiTheme="minorEastAsia" w:hAnsiTheme="minorEastAsia" w:eastAsiaTheme="minorEastAsia" w:cstheme="minorEastAsia"/>
                <w:lang w:val="fr-FR" w:eastAsia="zh-CN"/>
              </w:rPr>
              <w:t>点</w:t>
            </w:r>
            <w:r>
              <w:rPr>
                <w:rFonts w:hint="eastAsia" w:asciiTheme="minorEastAsia" w:hAnsiTheme="minorEastAsia" w:eastAsiaTheme="minorEastAsia" w:cstheme="minorEastAsia"/>
                <w:lang w:val="fr-FR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highlight w:val="none"/>
                <w:lang w:val="en-US" w:eastAsia="zh-CN"/>
              </w:rPr>
              <w:t>:</w:t>
            </w:r>
          </w:p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lang w:val="fr-FR"/>
              </w:rPr>
            </w:pPr>
          </w:p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lang w:val="fr-FR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fr-FR"/>
              </w:rPr>
              <w:t>大写：</w:t>
            </w:r>
          </w:p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lang w:val="fr-F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注：若大小写不同以大写为准。</w:t>
            </w:r>
          </w:p>
        </w:tc>
      </w:tr>
    </w:tbl>
    <w:p>
      <w:pPr>
        <w:spacing w:line="46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说明：（1）报价应包含货物及运输安装调试等费用（含税）；</w:t>
      </w:r>
    </w:p>
    <w:p>
      <w:pPr>
        <w:spacing w:line="460" w:lineRule="exact"/>
        <w:ind w:firstLine="900" w:firstLineChars="3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（2）报价有效期为提交报价文件截止日期起30天。</w:t>
      </w:r>
    </w:p>
    <w:p>
      <w:pPr>
        <w:spacing w:line="460" w:lineRule="exact"/>
        <w:ind w:firstLine="1800" w:firstLineChars="6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投标人名称：（加盖公章）</w:t>
      </w:r>
    </w:p>
    <w:p>
      <w:pPr>
        <w:spacing w:line="460" w:lineRule="exact"/>
        <w:ind w:firstLine="1800" w:firstLineChars="6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法定代表人或代理人：（签字）</w:t>
      </w:r>
    </w:p>
    <w:p>
      <w:pPr>
        <w:spacing w:line="4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spacing w:line="460" w:lineRule="exact"/>
        <w:ind w:firstLine="3150" w:firstLineChars="105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日期：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日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  <w:bookmarkStart w:id="14" w:name="_Toc227144303"/>
      <w:r>
        <w:rPr>
          <w:rFonts w:hint="eastAsia" w:asciiTheme="minorEastAsia" w:hAnsiTheme="minorEastAsia" w:eastAsiaTheme="minorEastAsia" w:cstheme="minorEastAsia"/>
          <w:sz w:val="30"/>
          <w:szCs w:val="30"/>
        </w:rPr>
        <w:br w:type="page"/>
      </w:r>
    </w:p>
    <w:p>
      <w:pPr>
        <w:pStyle w:val="3"/>
        <w:spacing w:beforeLines="50" w:afterLines="50" w:line="52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bookmarkStart w:id="15" w:name="_Toc3471"/>
      <w:bookmarkStart w:id="16" w:name="_Toc21412"/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第三章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商务条款及要求</w:t>
      </w:r>
      <w:bookmarkEnd w:id="15"/>
      <w:bookmarkEnd w:id="16"/>
    </w:p>
    <w:p>
      <w:pPr>
        <w:adjustRightInd w:val="0"/>
        <w:snapToGrid w:val="0"/>
        <w:spacing w:line="460" w:lineRule="exact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1.付款方式为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：维修完毕验收后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，按合同约定支付。交货地点：邛崃市临邛镇大东街669号四川省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南宝山服饰有限公司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；</w:t>
      </w:r>
    </w:p>
    <w:p>
      <w:pPr>
        <w:adjustRightInd w:val="0"/>
        <w:snapToGrid w:val="0"/>
        <w:spacing w:line="460" w:lineRule="exact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.所有项目的报价为含税价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（增值税专用发票）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，包含送货上门及安装或换件服务；</w:t>
      </w:r>
    </w:p>
    <w:p>
      <w:pPr>
        <w:spacing w:line="460" w:lineRule="exact"/>
        <w:ind w:firstLine="60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.质保时间：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维修后相同故障保修不低于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3个月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</w:t>
      </w:r>
    </w:p>
    <w:p>
      <w:pPr>
        <w:spacing w:line="460" w:lineRule="exact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.质量要求：提供的产品符合国家质量标准要求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；</w:t>
      </w:r>
    </w:p>
    <w:p>
      <w:pPr>
        <w:spacing w:line="460" w:lineRule="exact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.合同有效期为一年；</w:t>
      </w:r>
    </w:p>
    <w:p>
      <w:pPr>
        <w:spacing w:line="460" w:lineRule="exact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.所有报价不允许有缺项漏项，所有涉及金额的单位均为人民币元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，所报单价不能超过单项最高限价。</w:t>
      </w:r>
    </w:p>
    <w:p>
      <w:pPr>
        <w:spacing w:line="460" w:lineRule="exact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.所有清单上规格型号不允许变更。</w:t>
      </w:r>
    </w:p>
    <w:p>
      <w:pPr>
        <w:pStyle w:val="2"/>
        <w:ind w:firstLine="600" w:firstLineChars="200"/>
        <w:jc w:val="left"/>
        <w:rPr>
          <w:rFonts w:hint="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8.未尽事宜合同约定。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br w:type="page"/>
      </w:r>
    </w:p>
    <w:p>
      <w:pPr>
        <w:pStyle w:val="3"/>
        <w:numPr>
          <w:ilvl w:val="0"/>
          <w:numId w:val="0"/>
        </w:numPr>
        <w:spacing w:beforeLines="50" w:afterLines="50" w:line="520" w:lineRule="exac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bookmarkStart w:id="17" w:name="_Toc17216"/>
      <w:bookmarkStart w:id="18" w:name="_Toc31502"/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第四章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四川省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南宝山服饰有限公司</w:t>
      </w:r>
      <w:bookmarkEnd w:id="17"/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电视机定点维修单位采购报价单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详见附件</w:t>
      </w:r>
    </w:p>
    <w:bookmarkEnd w:id="18"/>
    <w:p>
      <w:pPr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br w:type="page"/>
      </w:r>
    </w:p>
    <w:p>
      <w:pPr>
        <w:pStyle w:val="3"/>
        <w:spacing w:beforeLines="50" w:afterLines="50" w:line="52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bookmarkStart w:id="19" w:name="_Toc27717"/>
      <w:bookmarkStart w:id="20" w:name="_Toc6815"/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第五章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评审</w:t>
      </w:r>
      <w:bookmarkEnd w:id="14"/>
      <w:bookmarkEnd w:id="19"/>
      <w:bookmarkEnd w:id="20"/>
    </w:p>
    <w:p>
      <w:pPr>
        <w:spacing w:line="520" w:lineRule="exact"/>
        <w:ind w:firstLine="602" w:firstLineChars="200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1.成立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小组</w:t>
      </w:r>
    </w:p>
    <w:p>
      <w:pPr>
        <w:spacing w:line="520" w:lineRule="exact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根据本次采购项目的性质依法成立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小组。</w:t>
      </w:r>
    </w:p>
    <w:p>
      <w:pPr>
        <w:spacing w:line="520" w:lineRule="exact"/>
        <w:ind w:firstLine="602" w:firstLineChars="200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2.评审原则</w:t>
      </w:r>
    </w:p>
    <w:p>
      <w:pPr>
        <w:spacing w:line="52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2.1严格遵守公平、公正、择优的原则；</w:t>
      </w:r>
    </w:p>
    <w:p>
      <w:pPr>
        <w:spacing w:line="52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2.2对所有响应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通知书实质性要求的报价方一视同仁；</w:t>
      </w:r>
    </w:p>
    <w:p>
      <w:pPr>
        <w:spacing w:line="52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2.3根据符合采购需求、质量和服务相等且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报价系数之和最低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原则确定成交供应商。</w:t>
      </w:r>
    </w:p>
    <w:p>
      <w:pPr>
        <w:spacing w:line="520" w:lineRule="exact"/>
        <w:ind w:firstLine="602" w:firstLineChars="200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3.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评审步骤</w:t>
      </w:r>
    </w:p>
    <w:p>
      <w:pPr>
        <w:spacing w:line="52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3.1报价文件审查。审查报价文件是否符合要求，内容是否完整；</w:t>
      </w:r>
    </w:p>
    <w:p>
      <w:pPr>
        <w:spacing w:line="52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3.2报价文件澄清。对报价文件中含义不明确、同类问题表述不一致或者有明显文字和计算错误的内容（包括报价异常），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小组可以要求报价方在规定时间内以书面形式做出澄清、说明或者补正，但不能超出报价文件的范围或者改变报价文件的实质性内容，并由法定代表人或其授权代表签字；</w:t>
      </w:r>
    </w:p>
    <w:p>
      <w:pPr>
        <w:spacing w:line="52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3.3评审。报价方做出澄清、说明或者补正的，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小组应对其进行认定，认定为不合理的应提出不合理的理由并在评审报告中注明，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小组根据报价情况对报价方进行评审排序，并拟制评审报告,推荐成交供应商；</w:t>
      </w:r>
    </w:p>
    <w:p>
      <w:pPr>
        <w:spacing w:line="520" w:lineRule="exact"/>
        <w:ind w:firstLine="602" w:firstLineChars="200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4.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确定成交供应商</w:t>
      </w:r>
    </w:p>
    <w:p>
      <w:pPr>
        <w:spacing w:line="520" w:lineRule="exact"/>
        <w:ind w:firstLine="600" w:firstLineChars="200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采购方根据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小组提出的书面评审报告确定成交供应商，并于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四川省邛崃监狱内网公告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1个工作日。</w:t>
      </w:r>
    </w:p>
    <w:p>
      <w:pPr>
        <w:spacing w:line="52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bidi w:val="0"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sectPr>
      <w:footerReference r:id="rId5" w:type="default"/>
      <w:pgSz w:w="11906" w:h="16838"/>
      <w:pgMar w:top="1417" w:right="1417" w:bottom="1417" w:left="1417" w:header="624" w:footer="62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Theme="minorEastAsia" w:hAnsiTheme="minorEastAsia" w:eastAsiaTheme="minorEastAsia" w:cs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22"/>
        <w:rFonts w:asciiTheme="minorEastAsia" w:hAnsiTheme="minorEastAsia" w:eastAsiaTheme="minorEastAsia" w:cstheme="minorEastAsia"/>
        <w:sz w:val="24"/>
        <w:szCs w:val="24"/>
      </w:rPr>
    </w:pPr>
    <w:r>
      <w:rPr>
        <w:rFonts w:hint="eastAsia" w:asciiTheme="minorEastAsia" w:hAnsiTheme="minorEastAsia" w:eastAsiaTheme="minorEastAsia" w:cstheme="minorEastAsia"/>
        <w:sz w:val="24"/>
        <w:szCs w:val="24"/>
      </w:rPr>
      <w:fldChar w:fldCharType="begin"/>
    </w:r>
    <w:r>
      <w:rPr>
        <w:rStyle w:val="22"/>
        <w:rFonts w:hint="eastAsia" w:asciiTheme="minorEastAsia" w:hAnsiTheme="minorEastAsia" w:eastAsiaTheme="minorEastAsia" w:cstheme="minorEastAsia"/>
        <w:sz w:val="24"/>
        <w:szCs w:val="24"/>
      </w:rPr>
      <w:instrText xml:space="preserve">PAGE  </w:instrText>
    </w:r>
    <w:r>
      <w:rPr>
        <w:rFonts w:hint="eastAsia" w:asciiTheme="minorEastAsia" w:hAnsiTheme="minorEastAsia" w:eastAsiaTheme="minorEastAsia" w:cstheme="minorEastAsia"/>
        <w:sz w:val="24"/>
        <w:szCs w:val="24"/>
      </w:rPr>
      <w:fldChar w:fldCharType="separate"/>
    </w:r>
    <w:r>
      <w:rPr>
        <w:rStyle w:val="22"/>
        <w:rFonts w:asciiTheme="minorEastAsia" w:hAnsiTheme="minorEastAsia" w:eastAsiaTheme="minorEastAsia" w:cstheme="minorEastAsia"/>
        <w:sz w:val="24"/>
        <w:szCs w:val="24"/>
      </w:rPr>
      <w:t>16</w:t>
    </w:r>
    <w:r>
      <w:rPr>
        <w:rFonts w:hint="eastAsia" w:asciiTheme="minorEastAsia" w:hAnsiTheme="minorEastAsia" w:eastAsiaTheme="minorEastAsia" w:cstheme="minorEastAsia"/>
        <w:sz w:val="24"/>
        <w:szCs w:val="24"/>
      </w:rPr>
      <w:fldChar w:fldCharType="end"/>
    </w:r>
  </w:p>
  <w:p>
    <w:pPr>
      <w:pStyle w:val="13"/>
      <w:rPr>
        <w:rFonts w:asciiTheme="minorEastAsia" w:hAnsiTheme="minorEastAsia" w:eastAsiaTheme="minorEastAsia" w:cstheme="minorEastAsia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B58"/>
    <w:rsid w:val="00013D76"/>
    <w:rsid w:val="00026C32"/>
    <w:rsid w:val="00073623"/>
    <w:rsid w:val="00083FC2"/>
    <w:rsid w:val="0009312B"/>
    <w:rsid w:val="000964F0"/>
    <w:rsid w:val="00096B33"/>
    <w:rsid w:val="000A6E26"/>
    <w:rsid w:val="000B1309"/>
    <w:rsid w:val="000B1DE3"/>
    <w:rsid w:val="000C1723"/>
    <w:rsid w:val="000C5FC4"/>
    <w:rsid w:val="000D55EF"/>
    <w:rsid w:val="000D5B49"/>
    <w:rsid w:val="000D71BE"/>
    <w:rsid w:val="000F064E"/>
    <w:rsid w:val="000F5F52"/>
    <w:rsid w:val="001026F4"/>
    <w:rsid w:val="0011382E"/>
    <w:rsid w:val="001147EA"/>
    <w:rsid w:val="001205CB"/>
    <w:rsid w:val="001264B4"/>
    <w:rsid w:val="00167267"/>
    <w:rsid w:val="00172A27"/>
    <w:rsid w:val="00175C98"/>
    <w:rsid w:val="001914B4"/>
    <w:rsid w:val="001979A3"/>
    <w:rsid w:val="001A0DD7"/>
    <w:rsid w:val="001A118C"/>
    <w:rsid w:val="001C0997"/>
    <w:rsid w:val="001C2687"/>
    <w:rsid w:val="001C48F7"/>
    <w:rsid w:val="001F556F"/>
    <w:rsid w:val="00205526"/>
    <w:rsid w:val="00206BB4"/>
    <w:rsid w:val="00206D42"/>
    <w:rsid w:val="00207D91"/>
    <w:rsid w:val="00237BCE"/>
    <w:rsid w:val="002731C8"/>
    <w:rsid w:val="00273BA6"/>
    <w:rsid w:val="002852E2"/>
    <w:rsid w:val="00295C6E"/>
    <w:rsid w:val="0029622C"/>
    <w:rsid w:val="002C5730"/>
    <w:rsid w:val="002D4359"/>
    <w:rsid w:val="002F7BA0"/>
    <w:rsid w:val="003523AB"/>
    <w:rsid w:val="003732A4"/>
    <w:rsid w:val="003740F1"/>
    <w:rsid w:val="00381E81"/>
    <w:rsid w:val="0039050B"/>
    <w:rsid w:val="00392BD1"/>
    <w:rsid w:val="003B7368"/>
    <w:rsid w:val="003C70D9"/>
    <w:rsid w:val="00410A0C"/>
    <w:rsid w:val="004158D4"/>
    <w:rsid w:val="0042567A"/>
    <w:rsid w:val="00430418"/>
    <w:rsid w:val="004358A1"/>
    <w:rsid w:val="004377D2"/>
    <w:rsid w:val="0044125C"/>
    <w:rsid w:val="00445DB3"/>
    <w:rsid w:val="00452A49"/>
    <w:rsid w:val="004A39C2"/>
    <w:rsid w:val="004B0C9F"/>
    <w:rsid w:val="004B466B"/>
    <w:rsid w:val="004B6FF0"/>
    <w:rsid w:val="004D1623"/>
    <w:rsid w:val="004E4AA0"/>
    <w:rsid w:val="00500D74"/>
    <w:rsid w:val="00511799"/>
    <w:rsid w:val="00527D5D"/>
    <w:rsid w:val="00540427"/>
    <w:rsid w:val="00551F3E"/>
    <w:rsid w:val="0055680D"/>
    <w:rsid w:val="005758A3"/>
    <w:rsid w:val="005829BD"/>
    <w:rsid w:val="00584857"/>
    <w:rsid w:val="00592352"/>
    <w:rsid w:val="005B2D23"/>
    <w:rsid w:val="005F5FA1"/>
    <w:rsid w:val="00623BCF"/>
    <w:rsid w:val="00634F38"/>
    <w:rsid w:val="006513A5"/>
    <w:rsid w:val="006A487B"/>
    <w:rsid w:val="006D4B93"/>
    <w:rsid w:val="006F6FBF"/>
    <w:rsid w:val="006F7680"/>
    <w:rsid w:val="00727B58"/>
    <w:rsid w:val="00733730"/>
    <w:rsid w:val="00740FAE"/>
    <w:rsid w:val="007420F3"/>
    <w:rsid w:val="00745114"/>
    <w:rsid w:val="00750FA8"/>
    <w:rsid w:val="00755B3F"/>
    <w:rsid w:val="007657CB"/>
    <w:rsid w:val="00786A4C"/>
    <w:rsid w:val="007B6E68"/>
    <w:rsid w:val="007C0A5C"/>
    <w:rsid w:val="007E640B"/>
    <w:rsid w:val="007F78CC"/>
    <w:rsid w:val="00802FFF"/>
    <w:rsid w:val="008142EB"/>
    <w:rsid w:val="00820268"/>
    <w:rsid w:val="00823342"/>
    <w:rsid w:val="00823AC4"/>
    <w:rsid w:val="008274FB"/>
    <w:rsid w:val="00833E3C"/>
    <w:rsid w:val="00846846"/>
    <w:rsid w:val="00867BE1"/>
    <w:rsid w:val="008712E8"/>
    <w:rsid w:val="008A0806"/>
    <w:rsid w:val="008D6C85"/>
    <w:rsid w:val="008E3E3E"/>
    <w:rsid w:val="008F5688"/>
    <w:rsid w:val="009012A5"/>
    <w:rsid w:val="00937A18"/>
    <w:rsid w:val="009473BD"/>
    <w:rsid w:val="00951022"/>
    <w:rsid w:val="0096142D"/>
    <w:rsid w:val="009634FA"/>
    <w:rsid w:val="00980BA1"/>
    <w:rsid w:val="009B372A"/>
    <w:rsid w:val="009C2A94"/>
    <w:rsid w:val="009D0816"/>
    <w:rsid w:val="009D6EEF"/>
    <w:rsid w:val="009F7696"/>
    <w:rsid w:val="00A01537"/>
    <w:rsid w:val="00A06623"/>
    <w:rsid w:val="00A17B17"/>
    <w:rsid w:val="00A21521"/>
    <w:rsid w:val="00A333DF"/>
    <w:rsid w:val="00A42386"/>
    <w:rsid w:val="00A44CB8"/>
    <w:rsid w:val="00A5444B"/>
    <w:rsid w:val="00A550DF"/>
    <w:rsid w:val="00A578B8"/>
    <w:rsid w:val="00A6434D"/>
    <w:rsid w:val="00A732AF"/>
    <w:rsid w:val="00A838D8"/>
    <w:rsid w:val="00AA2B24"/>
    <w:rsid w:val="00AC4615"/>
    <w:rsid w:val="00AC572E"/>
    <w:rsid w:val="00AD4E32"/>
    <w:rsid w:val="00AF6834"/>
    <w:rsid w:val="00B15317"/>
    <w:rsid w:val="00B2626C"/>
    <w:rsid w:val="00B37916"/>
    <w:rsid w:val="00B5046D"/>
    <w:rsid w:val="00B560BE"/>
    <w:rsid w:val="00B65C51"/>
    <w:rsid w:val="00B924F4"/>
    <w:rsid w:val="00B9610D"/>
    <w:rsid w:val="00BA22AB"/>
    <w:rsid w:val="00BA7384"/>
    <w:rsid w:val="00BB7919"/>
    <w:rsid w:val="00BD52D0"/>
    <w:rsid w:val="00BE30A5"/>
    <w:rsid w:val="00BE47AC"/>
    <w:rsid w:val="00BF588C"/>
    <w:rsid w:val="00C11250"/>
    <w:rsid w:val="00C155C7"/>
    <w:rsid w:val="00C54EDC"/>
    <w:rsid w:val="00C57873"/>
    <w:rsid w:val="00C64B43"/>
    <w:rsid w:val="00C80D54"/>
    <w:rsid w:val="00CA15CC"/>
    <w:rsid w:val="00CB7F88"/>
    <w:rsid w:val="00CD6F13"/>
    <w:rsid w:val="00CE4609"/>
    <w:rsid w:val="00D05D34"/>
    <w:rsid w:val="00D806F3"/>
    <w:rsid w:val="00D81463"/>
    <w:rsid w:val="00D82B1F"/>
    <w:rsid w:val="00DA142C"/>
    <w:rsid w:val="00DB3DBE"/>
    <w:rsid w:val="00DC3EFA"/>
    <w:rsid w:val="00E221C7"/>
    <w:rsid w:val="00E2721D"/>
    <w:rsid w:val="00E42ECA"/>
    <w:rsid w:val="00E45778"/>
    <w:rsid w:val="00E46440"/>
    <w:rsid w:val="00E47C8E"/>
    <w:rsid w:val="00E55C92"/>
    <w:rsid w:val="00E63AD8"/>
    <w:rsid w:val="00E736A7"/>
    <w:rsid w:val="00E810DB"/>
    <w:rsid w:val="00E8698A"/>
    <w:rsid w:val="00E96ADA"/>
    <w:rsid w:val="00EA7902"/>
    <w:rsid w:val="00EB32BE"/>
    <w:rsid w:val="00EB542C"/>
    <w:rsid w:val="00EB5C97"/>
    <w:rsid w:val="00EC2A4B"/>
    <w:rsid w:val="00EC4735"/>
    <w:rsid w:val="00EC613D"/>
    <w:rsid w:val="00ED2626"/>
    <w:rsid w:val="00EE4190"/>
    <w:rsid w:val="00EE699C"/>
    <w:rsid w:val="00EF0544"/>
    <w:rsid w:val="00EF2839"/>
    <w:rsid w:val="00F14634"/>
    <w:rsid w:val="00F21398"/>
    <w:rsid w:val="00F532B0"/>
    <w:rsid w:val="00F86FDB"/>
    <w:rsid w:val="00F96223"/>
    <w:rsid w:val="00F96738"/>
    <w:rsid w:val="00FB1816"/>
    <w:rsid w:val="00FC27BA"/>
    <w:rsid w:val="00FE3679"/>
    <w:rsid w:val="020460A2"/>
    <w:rsid w:val="020D02EF"/>
    <w:rsid w:val="0282723E"/>
    <w:rsid w:val="02D90192"/>
    <w:rsid w:val="03D52A43"/>
    <w:rsid w:val="046F2980"/>
    <w:rsid w:val="04C82ECA"/>
    <w:rsid w:val="04FD1F18"/>
    <w:rsid w:val="061E6F53"/>
    <w:rsid w:val="0892404B"/>
    <w:rsid w:val="09001D20"/>
    <w:rsid w:val="09244DFF"/>
    <w:rsid w:val="0C814E2D"/>
    <w:rsid w:val="0CA86B52"/>
    <w:rsid w:val="0D584FE2"/>
    <w:rsid w:val="0D741161"/>
    <w:rsid w:val="0E2B5BB2"/>
    <w:rsid w:val="0E9A1E57"/>
    <w:rsid w:val="0EAC1B89"/>
    <w:rsid w:val="0F312845"/>
    <w:rsid w:val="0F907D14"/>
    <w:rsid w:val="0FAA3A98"/>
    <w:rsid w:val="103A7313"/>
    <w:rsid w:val="1084401C"/>
    <w:rsid w:val="11BE118D"/>
    <w:rsid w:val="11F11637"/>
    <w:rsid w:val="12241A32"/>
    <w:rsid w:val="135F6EAC"/>
    <w:rsid w:val="138B42AB"/>
    <w:rsid w:val="14BD29EB"/>
    <w:rsid w:val="16572642"/>
    <w:rsid w:val="165F536C"/>
    <w:rsid w:val="17360CCE"/>
    <w:rsid w:val="174163E7"/>
    <w:rsid w:val="184F27F9"/>
    <w:rsid w:val="1863455D"/>
    <w:rsid w:val="18866D62"/>
    <w:rsid w:val="188B2C16"/>
    <w:rsid w:val="1940529E"/>
    <w:rsid w:val="19B36295"/>
    <w:rsid w:val="19BE181B"/>
    <w:rsid w:val="19CA25DF"/>
    <w:rsid w:val="1A0D442D"/>
    <w:rsid w:val="1A1E54C2"/>
    <w:rsid w:val="1A3C7E42"/>
    <w:rsid w:val="1AC44007"/>
    <w:rsid w:val="1B284199"/>
    <w:rsid w:val="1BAF15B3"/>
    <w:rsid w:val="1BB960A4"/>
    <w:rsid w:val="1C0A7FA7"/>
    <w:rsid w:val="1C8274E8"/>
    <w:rsid w:val="1D9B60BB"/>
    <w:rsid w:val="1DCA3746"/>
    <w:rsid w:val="1E2B7F1D"/>
    <w:rsid w:val="1EE7476B"/>
    <w:rsid w:val="1F237545"/>
    <w:rsid w:val="1F8B74AE"/>
    <w:rsid w:val="1FA1420B"/>
    <w:rsid w:val="216F6189"/>
    <w:rsid w:val="225C1D5F"/>
    <w:rsid w:val="22DE6514"/>
    <w:rsid w:val="233C47B5"/>
    <w:rsid w:val="23441D39"/>
    <w:rsid w:val="239F046A"/>
    <w:rsid w:val="24095DCA"/>
    <w:rsid w:val="24E1549C"/>
    <w:rsid w:val="25591209"/>
    <w:rsid w:val="25CB1083"/>
    <w:rsid w:val="25E43FE9"/>
    <w:rsid w:val="263F2238"/>
    <w:rsid w:val="26482F69"/>
    <w:rsid w:val="269004DA"/>
    <w:rsid w:val="26A010AA"/>
    <w:rsid w:val="26DE769B"/>
    <w:rsid w:val="26F12DBF"/>
    <w:rsid w:val="27011B7F"/>
    <w:rsid w:val="271566CB"/>
    <w:rsid w:val="271D7896"/>
    <w:rsid w:val="2728581C"/>
    <w:rsid w:val="273546CB"/>
    <w:rsid w:val="287A1E64"/>
    <w:rsid w:val="294E5376"/>
    <w:rsid w:val="29D53FD5"/>
    <w:rsid w:val="2A023E27"/>
    <w:rsid w:val="2A0D5AC2"/>
    <w:rsid w:val="2B346FD8"/>
    <w:rsid w:val="2B527B35"/>
    <w:rsid w:val="2BF71BA6"/>
    <w:rsid w:val="2C1C7583"/>
    <w:rsid w:val="2C4339C6"/>
    <w:rsid w:val="2CC9752F"/>
    <w:rsid w:val="2CDB3FA7"/>
    <w:rsid w:val="2D514FEC"/>
    <w:rsid w:val="2EDA42EB"/>
    <w:rsid w:val="303201B3"/>
    <w:rsid w:val="30F0690B"/>
    <w:rsid w:val="31345E26"/>
    <w:rsid w:val="3150107F"/>
    <w:rsid w:val="3223220B"/>
    <w:rsid w:val="3238079B"/>
    <w:rsid w:val="32B62AEE"/>
    <w:rsid w:val="32D169AA"/>
    <w:rsid w:val="32DA0F2D"/>
    <w:rsid w:val="33306BF3"/>
    <w:rsid w:val="335E08B6"/>
    <w:rsid w:val="33697372"/>
    <w:rsid w:val="340235BA"/>
    <w:rsid w:val="34BD1D36"/>
    <w:rsid w:val="357559C3"/>
    <w:rsid w:val="35762E5B"/>
    <w:rsid w:val="35C07E74"/>
    <w:rsid w:val="35C546F3"/>
    <w:rsid w:val="36B36F53"/>
    <w:rsid w:val="36B621E6"/>
    <w:rsid w:val="37081CC1"/>
    <w:rsid w:val="37360EC3"/>
    <w:rsid w:val="377C3070"/>
    <w:rsid w:val="37AA3C3A"/>
    <w:rsid w:val="37AB2644"/>
    <w:rsid w:val="383D39D8"/>
    <w:rsid w:val="3863525B"/>
    <w:rsid w:val="38924C98"/>
    <w:rsid w:val="38D26774"/>
    <w:rsid w:val="38DE36F2"/>
    <w:rsid w:val="39CE64DA"/>
    <w:rsid w:val="3A186AD6"/>
    <w:rsid w:val="3A344027"/>
    <w:rsid w:val="3AE330DE"/>
    <w:rsid w:val="3AF44F80"/>
    <w:rsid w:val="3B3448A7"/>
    <w:rsid w:val="3B6912F2"/>
    <w:rsid w:val="3BB424AF"/>
    <w:rsid w:val="3BE736BB"/>
    <w:rsid w:val="3C795FEB"/>
    <w:rsid w:val="3D40016D"/>
    <w:rsid w:val="3D634742"/>
    <w:rsid w:val="3DA43773"/>
    <w:rsid w:val="3DDF76E2"/>
    <w:rsid w:val="3E682C0B"/>
    <w:rsid w:val="3ED301B3"/>
    <w:rsid w:val="3F891222"/>
    <w:rsid w:val="3FDA3638"/>
    <w:rsid w:val="3FF03CF1"/>
    <w:rsid w:val="412A5CF0"/>
    <w:rsid w:val="4245051F"/>
    <w:rsid w:val="42A63B21"/>
    <w:rsid w:val="42E909D1"/>
    <w:rsid w:val="4596071A"/>
    <w:rsid w:val="45B77B13"/>
    <w:rsid w:val="45EB6203"/>
    <w:rsid w:val="46563E09"/>
    <w:rsid w:val="466E6FC9"/>
    <w:rsid w:val="46F4704F"/>
    <w:rsid w:val="47292FAC"/>
    <w:rsid w:val="47A70DC5"/>
    <w:rsid w:val="47DA15D1"/>
    <w:rsid w:val="47F67718"/>
    <w:rsid w:val="485B1D50"/>
    <w:rsid w:val="48903C5A"/>
    <w:rsid w:val="489B7739"/>
    <w:rsid w:val="495079E3"/>
    <w:rsid w:val="4973005F"/>
    <w:rsid w:val="49BE2A23"/>
    <w:rsid w:val="49D46C97"/>
    <w:rsid w:val="4B191F0E"/>
    <w:rsid w:val="4B732A04"/>
    <w:rsid w:val="4C04791D"/>
    <w:rsid w:val="4C091760"/>
    <w:rsid w:val="4C0925A2"/>
    <w:rsid w:val="4C4668FE"/>
    <w:rsid w:val="4D3C5418"/>
    <w:rsid w:val="4D80117A"/>
    <w:rsid w:val="4DE8504F"/>
    <w:rsid w:val="4F134995"/>
    <w:rsid w:val="4F1D42F3"/>
    <w:rsid w:val="4F67253C"/>
    <w:rsid w:val="5055671D"/>
    <w:rsid w:val="51420DDA"/>
    <w:rsid w:val="516861B7"/>
    <w:rsid w:val="51B07591"/>
    <w:rsid w:val="529377D3"/>
    <w:rsid w:val="53345528"/>
    <w:rsid w:val="53990858"/>
    <w:rsid w:val="54795B4D"/>
    <w:rsid w:val="547D7127"/>
    <w:rsid w:val="55C27879"/>
    <w:rsid w:val="56870107"/>
    <w:rsid w:val="56993881"/>
    <w:rsid w:val="573E72AF"/>
    <w:rsid w:val="57E46039"/>
    <w:rsid w:val="57F43758"/>
    <w:rsid w:val="587D507C"/>
    <w:rsid w:val="587D71A1"/>
    <w:rsid w:val="5882461B"/>
    <w:rsid w:val="58BB6B50"/>
    <w:rsid w:val="58D3339A"/>
    <w:rsid w:val="593D178D"/>
    <w:rsid w:val="59752F1C"/>
    <w:rsid w:val="59C76E37"/>
    <w:rsid w:val="5ACC0AE4"/>
    <w:rsid w:val="5C3058EB"/>
    <w:rsid w:val="5C604442"/>
    <w:rsid w:val="5C8C3243"/>
    <w:rsid w:val="5CC474BA"/>
    <w:rsid w:val="5D6D1535"/>
    <w:rsid w:val="5D912DC7"/>
    <w:rsid w:val="5E2A4330"/>
    <w:rsid w:val="5E7E33BA"/>
    <w:rsid w:val="5E8832DA"/>
    <w:rsid w:val="5ECF5B9A"/>
    <w:rsid w:val="5F9F3534"/>
    <w:rsid w:val="606B6C4F"/>
    <w:rsid w:val="60F81AD1"/>
    <w:rsid w:val="61DA47A4"/>
    <w:rsid w:val="62DC7669"/>
    <w:rsid w:val="63B1733A"/>
    <w:rsid w:val="64632FA2"/>
    <w:rsid w:val="65AF3248"/>
    <w:rsid w:val="65BE4021"/>
    <w:rsid w:val="662E76A3"/>
    <w:rsid w:val="66581F91"/>
    <w:rsid w:val="6661141C"/>
    <w:rsid w:val="66724422"/>
    <w:rsid w:val="66BF1FB0"/>
    <w:rsid w:val="66DD72FB"/>
    <w:rsid w:val="66E81D0F"/>
    <w:rsid w:val="680A6198"/>
    <w:rsid w:val="68C210BE"/>
    <w:rsid w:val="693E04F8"/>
    <w:rsid w:val="694E2D00"/>
    <w:rsid w:val="6AEC24EB"/>
    <w:rsid w:val="6B676D49"/>
    <w:rsid w:val="6B90646B"/>
    <w:rsid w:val="6C195B1B"/>
    <w:rsid w:val="6CF36FB9"/>
    <w:rsid w:val="6DE81D5A"/>
    <w:rsid w:val="6E3C72BC"/>
    <w:rsid w:val="6E961500"/>
    <w:rsid w:val="6F1551CC"/>
    <w:rsid w:val="6F6646BA"/>
    <w:rsid w:val="6F9F6B53"/>
    <w:rsid w:val="70071B53"/>
    <w:rsid w:val="70777CA9"/>
    <w:rsid w:val="71265672"/>
    <w:rsid w:val="714D1521"/>
    <w:rsid w:val="71762EA5"/>
    <w:rsid w:val="71A04ED6"/>
    <w:rsid w:val="722A1ADB"/>
    <w:rsid w:val="72F97549"/>
    <w:rsid w:val="738B1936"/>
    <w:rsid w:val="73A42BD5"/>
    <w:rsid w:val="74241853"/>
    <w:rsid w:val="742B2527"/>
    <w:rsid w:val="754A6A25"/>
    <w:rsid w:val="754B0A4F"/>
    <w:rsid w:val="75745DBE"/>
    <w:rsid w:val="75BF1279"/>
    <w:rsid w:val="75FD175B"/>
    <w:rsid w:val="773602C0"/>
    <w:rsid w:val="77582A07"/>
    <w:rsid w:val="786344A3"/>
    <w:rsid w:val="78C6002B"/>
    <w:rsid w:val="78FE4AD2"/>
    <w:rsid w:val="790B7076"/>
    <w:rsid w:val="7B196F2F"/>
    <w:rsid w:val="7C17148B"/>
    <w:rsid w:val="7C4B7059"/>
    <w:rsid w:val="7C647CDF"/>
    <w:rsid w:val="7C8358F6"/>
    <w:rsid w:val="7CB05AE8"/>
    <w:rsid w:val="7CD060AB"/>
    <w:rsid w:val="7D33491A"/>
    <w:rsid w:val="7D546D74"/>
    <w:rsid w:val="7DDC1F10"/>
    <w:rsid w:val="7E670A6F"/>
    <w:rsid w:val="7E9D044F"/>
    <w:rsid w:val="7F074E20"/>
    <w:rsid w:val="7F0F0C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5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7">
    <w:name w:val="Normal Indent"/>
    <w:basedOn w:val="1"/>
    <w:qFormat/>
    <w:uiPriority w:val="0"/>
    <w:pPr>
      <w:ind w:firstLine="420"/>
    </w:pPr>
    <w:rPr>
      <w:sz w:val="21"/>
      <w:szCs w:val="20"/>
    </w:rPr>
  </w:style>
  <w:style w:type="paragraph" w:styleId="8">
    <w:name w:val="annotation text"/>
    <w:basedOn w:val="1"/>
    <w:link w:val="26"/>
    <w:semiHidden/>
    <w:qFormat/>
    <w:uiPriority w:val="0"/>
    <w:pPr>
      <w:jc w:val="left"/>
    </w:pPr>
  </w:style>
  <w:style w:type="paragraph" w:styleId="9">
    <w:name w:val="toc 3"/>
    <w:basedOn w:val="1"/>
    <w:next w:val="1"/>
    <w:semiHidden/>
    <w:qFormat/>
    <w:uiPriority w:val="0"/>
    <w:pPr>
      <w:ind w:left="840" w:leftChars="400"/>
    </w:pPr>
  </w:style>
  <w:style w:type="paragraph" w:styleId="10">
    <w:name w:val="Plain Text"/>
    <w:basedOn w:val="1"/>
    <w:link w:val="27"/>
    <w:qFormat/>
    <w:uiPriority w:val="99"/>
    <w:rPr>
      <w:rFonts w:ascii="宋体" w:hAnsi="Courier New"/>
      <w:snapToGrid w:val="0"/>
      <w:kern w:val="10"/>
      <w:szCs w:val="20"/>
    </w:rPr>
  </w:style>
  <w:style w:type="paragraph" w:styleId="11">
    <w:name w:val="Date"/>
    <w:basedOn w:val="1"/>
    <w:next w:val="1"/>
    <w:link w:val="31"/>
    <w:unhideWhenUsed/>
    <w:qFormat/>
    <w:uiPriority w:val="99"/>
    <w:rPr>
      <w:rFonts w:eastAsia="楷体_GB2312"/>
      <w:szCs w:val="20"/>
    </w:r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0"/>
    <w:pPr>
      <w:tabs>
        <w:tab w:val="right" w:leader="dot" w:pos="9118"/>
      </w:tabs>
      <w:jc w:val="center"/>
    </w:pPr>
    <w:rPr>
      <w:rFonts w:ascii="仿宋_GB2312" w:hAnsi="宋体" w:eastAsia="仿宋_GB2312"/>
      <w:b/>
      <w:color w:val="FF0000"/>
    </w:rPr>
  </w:style>
  <w:style w:type="paragraph" w:styleId="16">
    <w:name w:val="toc 2"/>
    <w:basedOn w:val="1"/>
    <w:next w:val="1"/>
    <w:semiHidden/>
    <w:qFormat/>
    <w:uiPriority w:val="0"/>
    <w:pPr>
      <w:ind w:left="420" w:leftChars="200"/>
    </w:p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annotation subject"/>
    <w:basedOn w:val="8"/>
    <w:next w:val="8"/>
    <w:semiHidden/>
    <w:qFormat/>
    <w:uiPriority w:val="0"/>
    <w:rPr>
      <w:b/>
      <w:bCs/>
    </w:rPr>
  </w:style>
  <w:style w:type="table" w:styleId="20">
    <w:name w:val="Table Grid"/>
    <w:basedOn w:val="19"/>
    <w:unhideWhenUsed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semiHidden/>
    <w:qFormat/>
    <w:uiPriority w:val="0"/>
    <w:rPr>
      <w:sz w:val="21"/>
      <w:szCs w:val="21"/>
    </w:rPr>
  </w:style>
  <w:style w:type="character" w:customStyle="1" w:styleId="25">
    <w:name w:val="标题 4 Char"/>
    <w:basedOn w:val="21"/>
    <w:link w:val="6"/>
    <w:semiHidden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6">
    <w:name w:val="批注文字 Char"/>
    <w:link w:val="8"/>
    <w:semiHidden/>
    <w:qFormat/>
    <w:uiPriority w:val="0"/>
    <w:rPr>
      <w:rFonts w:eastAsia="宋体"/>
      <w:kern w:val="2"/>
      <w:sz w:val="28"/>
      <w:szCs w:val="28"/>
      <w:lang w:val="en-US" w:eastAsia="zh-CN" w:bidi="ar-SA"/>
    </w:rPr>
  </w:style>
  <w:style w:type="character" w:customStyle="1" w:styleId="27">
    <w:name w:val="纯文本 Char"/>
    <w:link w:val="10"/>
    <w:qFormat/>
    <w:uiPriority w:val="99"/>
    <w:rPr>
      <w:rFonts w:ascii="宋体" w:hAnsi="Courier New"/>
      <w:snapToGrid w:val="0"/>
      <w:kern w:val="10"/>
      <w:sz w:val="28"/>
    </w:rPr>
  </w:style>
  <w:style w:type="character" w:customStyle="1" w:styleId="28">
    <w:name w:val="apple-converted-space"/>
    <w:basedOn w:val="21"/>
    <w:qFormat/>
    <w:uiPriority w:val="0"/>
  </w:style>
  <w:style w:type="paragraph" w:customStyle="1" w:styleId="29">
    <w:name w:val="p0"/>
    <w:basedOn w:val="1"/>
    <w:qFormat/>
    <w:uiPriority w:val="0"/>
    <w:pPr>
      <w:widowControl/>
    </w:pPr>
    <w:rPr>
      <w:rFonts w:ascii="Calibri" w:hAnsi="Calibri" w:cs="宋体"/>
      <w:kern w:val="0"/>
      <w:sz w:val="21"/>
      <w:szCs w:val="21"/>
    </w:rPr>
  </w:style>
  <w:style w:type="paragraph" w:styleId="30">
    <w:name w:val="List Paragraph"/>
    <w:basedOn w:val="1"/>
    <w:qFormat/>
    <w:uiPriority w:val="34"/>
    <w:pPr>
      <w:ind w:firstLine="420" w:firstLineChars="200"/>
    </w:pPr>
    <w:rPr>
      <w:sz w:val="21"/>
      <w:szCs w:val="20"/>
    </w:rPr>
  </w:style>
  <w:style w:type="character" w:customStyle="1" w:styleId="31">
    <w:name w:val="日期 Char"/>
    <w:basedOn w:val="21"/>
    <w:link w:val="11"/>
    <w:qFormat/>
    <w:uiPriority w:val="99"/>
    <w:rPr>
      <w:rFonts w:eastAsia="楷体_GB2312"/>
      <w:kern w:val="2"/>
      <w:sz w:val="28"/>
    </w:rPr>
  </w:style>
  <w:style w:type="character" w:customStyle="1" w:styleId="32">
    <w:name w:val="05、“(一)”正文三级标题 Char"/>
    <w:link w:val="33"/>
    <w:qFormat/>
    <w:uiPriority w:val="0"/>
    <w:rPr>
      <w:rFonts w:ascii="宋体" w:hAnsi="宋体"/>
      <w:sz w:val="24"/>
      <w:szCs w:val="24"/>
    </w:rPr>
  </w:style>
  <w:style w:type="paragraph" w:customStyle="1" w:styleId="33">
    <w:name w:val="05、“(一)”正文三级标题"/>
    <w:basedOn w:val="1"/>
    <w:link w:val="32"/>
    <w:qFormat/>
    <w:uiPriority w:val="0"/>
    <w:pPr>
      <w:tabs>
        <w:tab w:val="left" w:pos="0"/>
      </w:tabs>
      <w:wordWrap w:val="0"/>
      <w:topLinePunct/>
      <w:adjustRightInd w:val="0"/>
      <w:snapToGrid w:val="0"/>
      <w:spacing w:line="440" w:lineRule="exact"/>
      <w:ind w:firstLine="803" w:firstLineChars="200"/>
      <w:jc w:val="left"/>
    </w:pPr>
    <w:rPr>
      <w:rFonts w:ascii="宋体" w:hAnsi="宋体"/>
      <w:kern w:val="0"/>
      <w:sz w:val="24"/>
      <w:szCs w:val="24"/>
    </w:rPr>
  </w:style>
  <w:style w:type="character" w:customStyle="1" w:styleId="34">
    <w:name w:val="06、“1.”正文四级标题 Char"/>
    <w:link w:val="35"/>
    <w:qFormat/>
    <w:uiPriority w:val="0"/>
    <w:rPr>
      <w:rFonts w:ascii="宋体" w:hAnsi="宋体"/>
      <w:snapToGrid w:val="0"/>
      <w:sz w:val="24"/>
      <w:szCs w:val="24"/>
    </w:rPr>
  </w:style>
  <w:style w:type="paragraph" w:customStyle="1" w:styleId="35">
    <w:name w:val="06、“1.”正文四级标题"/>
    <w:basedOn w:val="1"/>
    <w:link w:val="34"/>
    <w:qFormat/>
    <w:uiPriority w:val="0"/>
    <w:pPr>
      <w:tabs>
        <w:tab w:val="left" w:pos="0"/>
      </w:tabs>
      <w:wordWrap w:val="0"/>
      <w:topLinePunct/>
      <w:adjustRightInd w:val="0"/>
      <w:snapToGrid w:val="0"/>
      <w:spacing w:line="440" w:lineRule="exact"/>
      <w:ind w:firstLine="803" w:firstLineChars="200"/>
      <w:jc w:val="left"/>
    </w:pPr>
    <w:rPr>
      <w:rFonts w:ascii="宋体" w:hAnsi="宋体"/>
      <w:snapToGrid w:val="0"/>
      <w:kern w:val="0"/>
      <w:sz w:val="24"/>
      <w:szCs w:val="24"/>
    </w:rPr>
  </w:style>
  <w:style w:type="paragraph" w:customStyle="1" w:styleId="36">
    <w:name w:val="17“1.”四级标题"/>
    <w:basedOn w:val="1"/>
    <w:qFormat/>
    <w:uiPriority w:val="0"/>
    <w:pPr>
      <w:tabs>
        <w:tab w:val="left" w:pos="0"/>
      </w:tabs>
      <w:wordWrap w:val="0"/>
      <w:topLinePunct/>
      <w:adjustRightInd w:val="0"/>
      <w:snapToGrid w:val="0"/>
      <w:spacing w:line="440" w:lineRule="exact"/>
      <w:ind w:firstLine="803" w:firstLineChars="200"/>
      <w:jc w:val="left"/>
    </w:pPr>
    <w:rPr>
      <w:rFonts w:ascii="宋体" w:hAnsi="宋体"/>
      <w:sz w:val="24"/>
      <w:szCs w:val="24"/>
    </w:rPr>
  </w:style>
  <w:style w:type="paragraph" w:customStyle="1" w:styleId="37">
    <w:name w:val="21、合同二级标题序号"/>
    <w:basedOn w:val="1"/>
    <w:qFormat/>
    <w:uiPriority w:val="0"/>
    <w:pPr>
      <w:tabs>
        <w:tab w:val="left" w:pos="0"/>
      </w:tabs>
      <w:wordWrap w:val="0"/>
      <w:topLinePunct/>
      <w:adjustRightInd w:val="0"/>
      <w:snapToGrid w:val="0"/>
      <w:spacing w:line="440" w:lineRule="exact"/>
      <w:jc w:val="left"/>
      <w:outlineLvl w:val="1"/>
    </w:pPr>
    <w:rPr>
      <w:rFonts w:ascii="宋体" w:hAnsi="宋体"/>
      <w:b/>
      <w:snapToGrid w:val="0"/>
      <w:sz w:val="24"/>
      <w:szCs w:val="24"/>
    </w:rPr>
  </w:style>
  <w:style w:type="character" w:customStyle="1" w:styleId="38">
    <w:name w:val="font21"/>
    <w:basedOn w:val="21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23</Pages>
  <Words>3027</Words>
  <Characters>17258</Characters>
  <Lines>143</Lines>
  <Paragraphs>40</Paragraphs>
  <TotalTime>262</TotalTime>
  <ScaleCrop>false</ScaleCrop>
  <LinksUpToDate>false</LinksUpToDate>
  <CharactersWithSpaces>20245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2022-02-11T23:25:00Z</dcterms:created>
  <dc:creator>FtpDown</dc:creator>
  <cp:lastModifiedBy>AOC</cp:lastModifiedBy>
  <cp:lastPrinted>2023-03-13T14:50:00Z</cp:lastPrinted>
  <dcterms:modified xsi:type="dcterms:W3CDTF">2025-06-12T06:26:59Z</dcterms:modified>
  <dc:title>招 标 文 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8B27C2F0B80DD69D0CF6486875CCA84D</vt:lpwstr>
  </property>
</Properties>
</file>